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4AE2"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/>
          <w:w w:val="105"/>
          <w:sz w:val="36"/>
          <w:szCs w:val="36"/>
        </w:rPr>
      </w:pPr>
      <w:bookmarkStart w:id="0" w:name="OLE_LINK44"/>
      <w:bookmarkStart w:id="1" w:name="OLE_LINK39"/>
      <w:r>
        <w:rPr>
          <w:rFonts w:hint="eastAsia" w:ascii="黑体" w:hAnsi="黑体" w:eastAsia="黑体" w:cs="黑体"/>
          <w:spacing w:val="4"/>
          <w:w w:val="105"/>
          <w:sz w:val="32"/>
          <w:szCs w:val="32"/>
        </w:rPr>
        <w:t>附件2</w:t>
      </w:r>
    </w:p>
    <w:p w14:paraId="62441701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中国水利电力质量管理协会零碳园区（工厂）</w:t>
      </w:r>
    </w:p>
    <w:p w14:paraId="67C79175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标杆成果实体类案例申报书</w:t>
      </w:r>
      <w:bookmarkEnd w:id="0"/>
      <w:bookmarkEnd w:id="1"/>
    </w:p>
    <w:p w14:paraId="5257984E">
      <w:pPr>
        <w:pStyle w:val="15"/>
        <w:adjustRightInd w:val="0"/>
        <w:spacing w:before="0" w:beforeAutospacing="0"/>
        <w:ind w:firstLine="0" w:firstLineChars="0"/>
        <w:rPr>
          <w:rFonts w:ascii="黑体" w:hAnsi="黑体" w:eastAsia="黑体"/>
          <w:b/>
          <w:bCs/>
          <w:szCs w:val="32"/>
        </w:rPr>
      </w:pPr>
    </w:p>
    <w:p w14:paraId="411DFADC">
      <w:pPr>
        <w:pStyle w:val="15"/>
        <w:adjustRightInd w:val="0"/>
        <w:spacing w:before="0" w:beforeAutospacing="0"/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格式要求：</w:t>
      </w:r>
    </w:p>
    <w:p w14:paraId="4A80C31E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标题为黑体3号字、居中，申报单位为仿宋小4号字、居中，一级标题为黑体4号字、两端对齐，二级标题为黑体4号字、首行缩进2字符，内容为仿宋4号字，段落行距为1.5倍行距。</w:t>
      </w:r>
    </w:p>
    <w:p w14:paraId="7A2A2B75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总字数要求为3000-5000字。</w:t>
      </w:r>
    </w:p>
    <w:p w14:paraId="3602F105">
      <w:pPr>
        <w:pStyle w:val="15"/>
        <w:adjustRightInd w:val="0"/>
        <w:spacing w:before="0" w:beforeAutospacing="0"/>
        <w:ind w:firstLine="560"/>
      </w:pPr>
    </w:p>
    <w:p w14:paraId="5909A0A8">
      <w:pPr>
        <w:overflowPunct w:val="0"/>
        <w:adjustRightInd w:val="0"/>
        <w:snapToGrid w:val="0"/>
        <w:spacing w:line="360" w:lineRule="auto"/>
        <w:ind w:firstLine="172" w:firstLineChars="50"/>
        <w:jc w:val="center"/>
        <w:rPr>
          <w:rFonts w:ascii="黑体" w:hAnsi="黑体" w:eastAsia="黑体"/>
          <w:bCs/>
          <w:color w:val="000000" w:themeColor="text1"/>
          <w:spacing w:val="4"/>
          <w:w w:val="105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Hlk124065790"/>
      <w:r>
        <w:rPr>
          <w:rFonts w:hint="eastAsia" w:ascii="黑体" w:hAnsi="黑体" w:eastAsia="黑体"/>
          <w:bCs/>
          <w:color w:val="000000" w:themeColor="text1"/>
          <w:spacing w:val="4"/>
          <w:w w:val="105"/>
          <w:sz w:val="32"/>
          <w:szCs w:val="32"/>
          <w14:textFill>
            <w14:solidFill>
              <w14:schemeClr w14:val="tx1"/>
            </w14:solidFill>
          </w14:textFill>
        </w:rPr>
        <w:t>项目名称：×××</w:t>
      </w:r>
      <w:bookmarkEnd w:id="2"/>
      <w:r>
        <w:rPr>
          <w:rFonts w:hint="eastAsia" w:ascii="黑体" w:hAnsi="黑体" w:eastAsia="黑体"/>
          <w:bCs/>
          <w:color w:val="000000" w:themeColor="text1"/>
          <w:spacing w:val="4"/>
          <w:w w:val="105"/>
          <w:sz w:val="32"/>
          <w:szCs w:val="32"/>
          <w14:textFill>
            <w14:solidFill>
              <w14:schemeClr w14:val="tx1"/>
            </w14:solidFill>
          </w14:textFill>
        </w:rPr>
        <w:t>×××××××××项目</w:t>
      </w:r>
    </w:p>
    <w:p w14:paraId="6772C167">
      <w:pPr>
        <w:overflowPunct w:val="0"/>
        <w:adjustRightInd w:val="0"/>
        <w:snapToGrid w:val="0"/>
        <w:spacing w:line="360" w:lineRule="auto"/>
        <w:ind w:firstLine="130" w:firstLineChars="50"/>
        <w:jc w:val="center"/>
        <w:rPr>
          <w:rFonts w:ascii="仿宋" w:hAnsi="仿宋" w:eastAsia="仿宋"/>
          <w:bCs/>
          <w:color w:val="000000" w:themeColor="text1"/>
          <w:spacing w:val="4"/>
          <w:w w:val="105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4"/>
          <w:w w:val="105"/>
          <w:sz w:val="24"/>
          <w:szCs w:val="24"/>
          <w14:textFill>
            <w14:solidFill>
              <w14:schemeClr w14:val="tx1"/>
            </w14:solidFill>
          </w14:textFill>
        </w:rPr>
        <w:t>申报单位：XXXX</w:t>
      </w:r>
    </w:p>
    <w:p w14:paraId="55BF0127">
      <w:pPr>
        <w:pStyle w:val="15"/>
        <w:adjustRightInd w:val="0"/>
        <w:spacing w:before="0" w:beforeAutospacing="0"/>
        <w:ind w:firstLine="562"/>
        <w:rPr>
          <w:rFonts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AF3DB76">
      <w:pPr>
        <w:pStyle w:val="15"/>
        <w:adjustRightInd w:val="0"/>
        <w:spacing w:before="0" w:beforeAutospacing="0"/>
        <w:ind w:firstLine="0" w:firstLineChars="0"/>
        <w:jc w:val="lef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摘要：黑体小4号，居中200～300字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2D561F80">
      <w:pPr>
        <w:pStyle w:val="4"/>
        <w:numPr>
          <w:ilvl w:val="2"/>
          <w:numId w:val="1"/>
        </w:numPr>
        <w:adjustRightInd w:val="0"/>
        <w:snapToGrid w:val="0"/>
        <w:spacing w:before="0" w:after="0" w:line="360" w:lineRule="auto"/>
        <w:ind w:left="1134" w:hanging="1134" w:hangingChars="405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项目概况</w:t>
      </w:r>
    </w:p>
    <w:p w14:paraId="0B911C9D">
      <w:pPr>
        <w:pStyle w:val="15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1.1项目背景</w:t>
      </w:r>
    </w:p>
    <w:p w14:paraId="09F74168">
      <w:pPr>
        <w:pStyle w:val="15"/>
        <w:adjustRightInd w:val="0"/>
        <w:spacing w:before="0" w:beforeAutospacing="0"/>
        <w:ind w:firstLine="562" w:firstLineChars="201"/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包括不限于项目案例地理位置，投资规模，供能品种及规模，供能环节（源、网、荷、储、用等）等内容。</w:t>
      </w:r>
    </w:p>
    <w:p w14:paraId="5F4F9231">
      <w:pPr>
        <w:pStyle w:val="15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1.2 项目进展情况</w:t>
      </w:r>
    </w:p>
    <w:p w14:paraId="7A4F06C1">
      <w:pPr>
        <w:pStyle w:val="15"/>
        <w:adjustRightInd w:val="0"/>
        <w:spacing w:before="0" w:beforeAutospacing="0"/>
        <w:ind w:firstLine="562" w:firstLineChars="20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OLE_LINK31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项目案例当前进度，开工时间、投运时</w:t>
      </w:r>
      <w:bookmarkEnd w:id="3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间等。</w:t>
      </w:r>
    </w:p>
    <w:p w14:paraId="78248C83">
      <w:pPr>
        <w:pStyle w:val="4"/>
        <w:numPr>
          <w:ilvl w:val="2"/>
          <w:numId w:val="1"/>
        </w:numPr>
        <w:adjustRightInd w:val="0"/>
        <w:snapToGrid w:val="0"/>
        <w:spacing w:before="0" w:after="0" w:line="360" w:lineRule="auto"/>
        <w:ind w:left="1134" w:hanging="1134" w:hangingChars="405"/>
        <w:rPr>
          <w:rFonts w:ascii="黑体" w:hAnsi="黑体" w:eastAsia="黑体"/>
          <w:b w:val="0"/>
          <w:sz w:val="28"/>
          <w:szCs w:val="28"/>
        </w:rPr>
      </w:pPr>
      <w:bookmarkStart w:id="4" w:name="_Hlk62473093"/>
      <w:bookmarkStart w:id="5" w:name="OLE_LINK32"/>
      <w:r>
        <w:rPr>
          <w:rFonts w:hint="eastAsia" w:ascii="黑体" w:hAnsi="黑体" w:eastAsia="黑体"/>
          <w:b w:val="0"/>
          <w:sz w:val="28"/>
          <w:szCs w:val="28"/>
        </w:rPr>
        <w:t>投资运营</w:t>
      </w:r>
    </w:p>
    <w:bookmarkEnd w:id="4"/>
    <w:p w14:paraId="609C777F">
      <w:pPr>
        <w:pStyle w:val="15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2.1政策依据</w:t>
      </w:r>
    </w:p>
    <w:p w14:paraId="4766FAC5">
      <w:pPr>
        <w:pStyle w:val="15"/>
        <w:adjustRightInd w:val="0"/>
        <w:spacing w:before="0" w:beforeAutospacing="0"/>
        <w:ind w:firstLine="541" w:firstLineChars="20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6"/>
          <w14:textFill>
            <w14:solidFill>
              <w14:schemeClr w14:val="tx1"/>
            </w14:solidFill>
          </w14:textFill>
        </w:rPr>
        <w:t>项目所在地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14:textFill>
            <w14:solidFill>
              <w14:schemeClr w14:val="tx1"/>
            </w14:solidFill>
          </w14:textFill>
        </w:rPr>
        <w:t>的鼓励政策、当地能源价格政策等</w:t>
      </w:r>
      <w:r>
        <w:rPr>
          <w:rFonts w:hint="eastAsia" w:ascii="仿宋_GB2312" w:hAnsi="仿宋_GB2312" w:eastAsia="仿宋_GB2312" w:cs="仿宋_GB2312"/>
          <w:b/>
          <w:color w:val="000000" w:themeColor="text1"/>
          <w:spacing w:val="-6"/>
          <w14:textFill>
            <w14:solidFill>
              <w14:schemeClr w14:val="tx1"/>
            </w14:solidFill>
          </w14:textFill>
        </w:rPr>
        <w:t>直接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14:textFill>
            <w14:solidFill>
              <w14:schemeClr w14:val="tx1"/>
            </w14:solidFill>
          </w14:textFill>
        </w:rPr>
        <w:t>影响项目收益的政策。</w:t>
      </w:r>
    </w:p>
    <w:p w14:paraId="53E5821B">
      <w:pPr>
        <w:pStyle w:val="15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2.2商业模式</w:t>
      </w:r>
    </w:p>
    <w:p w14:paraId="0694DC7E">
      <w:pPr>
        <w:pStyle w:val="15"/>
        <w:adjustRightInd w:val="0"/>
        <w:spacing w:before="0" w:beforeAutospacing="0"/>
        <w:ind w:firstLine="562" w:firstLineChars="201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OLE_LINK60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投资</w:t>
      </w:r>
      <w:bookmarkStart w:id="7" w:name="OLE_LINK26"/>
      <w:bookmarkStart w:id="8" w:name="OLE_LINK25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建设运营模式</w:t>
      </w:r>
      <w:bookmarkEnd w:id="7"/>
      <w:bookmarkEnd w:id="8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：（</w:t>
      </w: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投资运营一体化、BOT、合同能源管理、委托运营、</w:t>
      </w:r>
      <w:r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EPC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特许经营权模式、其他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等）。</w:t>
      </w:r>
    </w:p>
    <w:p w14:paraId="07F23F3D">
      <w:pPr>
        <w:pStyle w:val="15"/>
        <w:adjustRightInd w:val="0"/>
        <w:spacing w:before="0" w:beforeAutospacing="0"/>
        <w:ind w:firstLine="562" w:firstLineChars="201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购销双方主体，能源销售和购买方式，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购销协议及价格。</w:t>
      </w:r>
    </w:p>
    <w:p w14:paraId="12873085">
      <w:pPr>
        <w:pStyle w:val="15"/>
        <w:adjustRightInd w:val="0"/>
        <w:spacing w:before="0" w:beforeAutospacing="0"/>
        <w:ind w:firstLine="562" w:firstLineChars="201"/>
        <w:rPr>
          <w:rFonts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售能方式：（单一、打捆、趸售）。</w:t>
      </w:r>
    </w:p>
    <w:p w14:paraId="3E239CD6">
      <w:pPr>
        <w:pStyle w:val="15"/>
        <w:adjustRightInd w:val="0"/>
        <w:spacing w:before="0" w:beforeAutospacing="0"/>
        <w:ind w:firstLine="562" w:firstLineChars="201"/>
        <w:rPr>
          <w:rFonts w:ascii="仿宋" w:hAnsi="仿宋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其他体现项目运营、盈利模式的关键内容。</w:t>
      </w:r>
    </w:p>
    <w:p w14:paraId="2BC8FFE1">
      <w:pPr>
        <w:pStyle w:val="4"/>
        <w:numPr>
          <w:ilvl w:val="2"/>
          <w:numId w:val="1"/>
        </w:numPr>
        <w:adjustRightInd w:val="0"/>
        <w:snapToGrid w:val="0"/>
        <w:spacing w:before="0" w:after="0" w:line="360" w:lineRule="auto"/>
        <w:ind w:left="1134" w:hanging="1134" w:hangingChars="405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技术方案</w:t>
      </w:r>
    </w:p>
    <w:p w14:paraId="04D1172A">
      <w:pPr>
        <w:pStyle w:val="15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3.1用能需求</w:t>
      </w:r>
    </w:p>
    <w:bookmarkEnd w:id="5"/>
    <w:p w14:paraId="5054FB33">
      <w:pPr>
        <w:pStyle w:val="9"/>
        <w:adjustRightInd w:val="0"/>
        <w:snapToGrid w:val="0"/>
        <w:spacing w:after="0" w:line="360" w:lineRule="auto"/>
        <w:ind w:left="0" w:leftChars="0" w:firstLine="565" w:firstLineChars="202"/>
        <w:rPr>
          <w:rFonts w:ascii="仿宋" w:hAnsi="仿宋" w:eastAsia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用户各能源品种需求量，最高电力负荷和电量、热冷需求总量等，以及其他定制化要求。</w:t>
      </w:r>
    </w:p>
    <w:p w14:paraId="2AF620B8">
      <w:pPr>
        <w:pStyle w:val="15"/>
        <w:adjustRightInd w:val="0"/>
        <w:spacing w:before="0" w:beforeAutospacing="0"/>
        <w:ind w:firstLine="560"/>
        <w:rPr>
          <w:rFonts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3.2项目功能</w:t>
      </w:r>
    </w:p>
    <w:p w14:paraId="7BAEC79C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规模：</w:t>
      </w:r>
    </w:p>
    <w:p w14:paraId="0A9A3838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自产：自建装机容量及能量，包括但不限于</w:t>
      </w:r>
      <w:bookmarkStart w:id="9" w:name="OLE_LINK24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分布式光伏发电系统</w:t>
      </w:r>
      <w:bookmarkEnd w:id="9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、分散式风力供能系统、地热供能系统、空气源热泵系统、污水源热泵系统；燃机多联供、溴化锂制冷、电锅炉供热、燃气锅炉供热等。</w:t>
      </w:r>
    </w:p>
    <w:p w14:paraId="1102C3BD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采购：项目采购能量。</w:t>
      </w:r>
    </w:p>
    <w:p w14:paraId="28C1950D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自产能源供应量占全部能源消耗量的比例。</w:t>
      </w:r>
    </w:p>
    <w:p w14:paraId="770675BB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储能：储能装机容量，包括但不限于电储能、蓄热、储冷、电动汽车充电系统等。</w:t>
      </w:r>
    </w:p>
    <w:p w14:paraId="608FC57D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传输：配电网条数、变压器容量及参数、电压等级、公里数，热网、冷网、水网的公里数、管网参数等。</w:t>
      </w:r>
    </w:p>
    <w:p w14:paraId="6D9CA657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智能管控：智慧化管控服务平台功能，如智慧用能服务、用能管理、能源优化等。</w:t>
      </w:r>
    </w:p>
    <w:p w14:paraId="505284A9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调节能力：考虑风光发电因素，并通过储能、需求响应等手段，形成的用户负荷峰谷差，及其占最大综合负荷的比。</w:t>
      </w:r>
    </w:p>
    <w:p w14:paraId="3C2C39F3">
      <w:pPr>
        <w:widowControl/>
        <w:adjustRightInd w:val="0"/>
        <w:snapToGrid w:val="0"/>
        <w:spacing w:line="360" w:lineRule="auto"/>
        <w:ind w:firstLine="565" w:firstLineChars="202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绿色低碳：清洁能源供应情况，清洁能源供应量（含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自产的清洁能源量和购买的清洁能源量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）及占用户使用能量总量的比。清洁能源利用情况，如清洁能源利用比例，风光实际发电量与设计发电量的比。</w:t>
      </w:r>
    </w:p>
    <w:p w14:paraId="33DF6D3D">
      <w:pPr>
        <w:widowControl/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综合能效：</w:t>
      </w:r>
      <w:bookmarkStart w:id="10" w:name="OLE_LINK3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能源利用情况，如能源综合利用率，综合能源（系统）输出能量总和占一次和二次能源消耗量的比。</w:t>
      </w:r>
    </w:p>
    <w:p w14:paraId="0409DB11">
      <w:pPr>
        <w:widowControl/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需求响应及市场参与：用能负荷与供给的互动情况</w:t>
      </w:r>
      <w:bookmarkStart w:id="11" w:name="OLE_LINK27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及</w:t>
      </w:r>
      <w:bookmarkEnd w:id="11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效果，参与外部电力市场的情况及效果。</w:t>
      </w:r>
    </w:p>
    <w:bookmarkEnd w:id="10"/>
    <w:p w14:paraId="7DB41FD2">
      <w:pPr>
        <w:pStyle w:val="4"/>
        <w:numPr>
          <w:ilvl w:val="2"/>
          <w:numId w:val="1"/>
        </w:numPr>
        <w:adjustRightInd w:val="0"/>
        <w:snapToGrid w:val="0"/>
        <w:spacing w:before="0" w:after="0" w:line="360" w:lineRule="auto"/>
        <w:ind w:left="1134" w:hanging="1134" w:hangingChars="405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经济效益</w:t>
      </w:r>
    </w:p>
    <w:p w14:paraId="6DF95788">
      <w:pPr>
        <w:pStyle w:val="15"/>
        <w:adjustRightInd w:val="0"/>
        <w:spacing w:before="0" w:beforeAutospacing="0"/>
        <w:ind w:firstLine="56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4.1投资方效益</w:t>
      </w:r>
    </w:p>
    <w:p w14:paraId="1D45EDB1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OLE_LINK48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项目投资回报水平，</w:t>
      </w:r>
      <w:r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项目总投资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、单位产能投资</w:t>
      </w:r>
      <w:r>
        <w:rPr>
          <w:rFonts w:hint="eastAsia" w:ascii="仿宋_GB2312" w:hAnsi="仿宋_GB2312" w:eastAsia="仿宋_GB2312" w:cs="仿宋_GB2312"/>
          <w:color w:val="000000" w:themeColor="text1"/>
          <w:szCs w:val="24"/>
          <w14:textFill>
            <w14:solidFill>
              <w14:schemeClr w14:val="tx1"/>
            </w14:solidFill>
          </w14:textFill>
        </w:rPr>
        <w:t>（各种能源折算成元/kWh）</w:t>
      </w:r>
      <w:r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投资回收期</w:t>
      </w:r>
      <w:r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、资本金内部收益率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bookmarkEnd w:id="12"/>
    <w:p w14:paraId="1D6D3804">
      <w:pPr>
        <w:pStyle w:val="15"/>
        <w:adjustRightInd w:val="0"/>
        <w:spacing w:before="0" w:beforeAutospacing="0"/>
        <w:ind w:firstLine="560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4.2 用户效益</w:t>
      </w:r>
    </w:p>
    <w:p w14:paraId="2A3F7548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项目对降低用户用能水平的贡献，</w:t>
      </w:r>
      <w:bookmarkStart w:id="13" w:name="OLE_LINK29"/>
      <w:bookmarkStart w:id="14" w:name="OLE_LINK28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项目售能价格</w:t>
      </w:r>
      <w:bookmarkEnd w:id="13"/>
      <w:bookmarkEnd w:id="14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与当地用能价格比较，包括项目提供的所有能源品种。</w:t>
      </w:r>
    </w:p>
    <w:p w14:paraId="04A9FA4E">
      <w:pPr>
        <w:pStyle w:val="4"/>
        <w:numPr>
          <w:ilvl w:val="2"/>
          <w:numId w:val="1"/>
        </w:numPr>
        <w:adjustRightInd w:val="0"/>
        <w:snapToGrid w:val="0"/>
        <w:spacing w:before="0" w:after="0" w:line="360" w:lineRule="auto"/>
        <w:ind w:left="1134" w:hanging="1134" w:hangingChars="405"/>
        <w:rPr>
          <w:rFonts w:ascii="黑体" w:hAnsi="黑体" w:eastAsia="黑体" w:cs="黑体"/>
          <w:b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t>社会效益</w:t>
      </w:r>
    </w:p>
    <w:p w14:paraId="32893573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节能减排效益：节能率，节能量；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节煤量，</w:t>
      </w:r>
      <w:r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减少一次能源消耗折标煤量；减碳量；减少CO</w:t>
      </w:r>
      <w:r>
        <w:rPr>
          <w:rFonts w:hint="eastAsia" w:ascii="仿宋_GB2312" w:hAnsi="仿宋_GB2312" w:eastAsia="仿宋_GB2312" w:cs="仿宋_GB2312"/>
          <w:b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排放量，减排率等。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排放水平及与国家、行业标准的比较，废弃物处理、对当地环境改善情况等。</w:t>
      </w:r>
    </w:p>
    <w:p w14:paraId="2F171BDD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OLE_LINK38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当地资源禀赋的利用，对当地经济的贡献。</w:t>
      </w:r>
    </w:p>
    <w:bookmarkEnd w:id="15"/>
    <w:p w14:paraId="3F1C662D">
      <w:pPr>
        <w:pStyle w:val="4"/>
        <w:numPr>
          <w:ilvl w:val="2"/>
          <w:numId w:val="1"/>
        </w:numPr>
        <w:adjustRightInd w:val="0"/>
        <w:snapToGrid w:val="0"/>
        <w:spacing w:before="0" w:after="0" w:line="360" w:lineRule="auto"/>
        <w:ind w:left="1134" w:hanging="1134" w:hangingChars="405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创新点</w:t>
      </w:r>
    </w:p>
    <w:p w14:paraId="3DB563B6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新技术集成，新材料、新设备应用，创新商业模式等。</w:t>
      </w:r>
    </w:p>
    <w:p w14:paraId="33FE61BD">
      <w:pPr>
        <w:pStyle w:val="4"/>
        <w:numPr>
          <w:ilvl w:val="2"/>
          <w:numId w:val="1"/>
        </w:numPr>
        <w:adjustRightInd w:val="0"/>
        <w:snapToGrid w:val="0"/>
        <w:spacing w:before="0" w:after="0" w:line="360" w:lineRule="auto"/>
        <w:ind w:left="1134" w:hanging="1134" w:hangingChars="405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经验体会</w:t>
      </w:r>
    </w:p>
    <w:p w14:paraId="745E10F3">
      <w:pPr>
        <w:pStyle w:val="15"/>
        <w:adjustRightInd w:val="0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包括不限于项目开发、建设、运营过程</w:t>
      </w:r>
      <w:bookmarkStart w:id="16" w:name="OLE_LINK62"/>
      <w:bookmarkStart w:id="17" w:name="OLE_LINK63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中的良好实践总结</w:t>
      </w:r>
      <w:bookmarkEnd w:id="16"/>
      <w:bookmarkEnd w:id="17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，遇到的问题，解决的途径，可复制推广的经验，建议等。</w:t>
      </w:r>
    </w:p>
    <w:p w14:paraId="40AFC175">
      <w:pPr>
        <w:pStyle w:val="4"/>
        <w:numPr>
          <w:ilvl w:val="2"/>
          <w:numId w:val="1"/>
        </w:numPr>
        <w:adjustRightInd w:val="0"/>
        <w:snapToGrid w:val="0"/>
        <w:spacing w:before="0" w:after="0" w:line="360" w:lineRule="auto"/>
        <w:ind w:left="1134" w:hanging="1134" w:hangingChars="405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申报单位团队成员及联系方式</w:t>
      </w:r>
    </w:p>
    <w:tbl>
      <w:tblPr>
        <w:tblStyle w:val="10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6397"/>
      </w:tblGrid>
      <w:tr w14:paraId="0BFC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FEC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*申报单位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701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3D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4F3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*通讯地址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240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591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CB3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*申报单位项目负责人及团队成员（不过超10人）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E90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负责人：</w:t>
            </w:r>
          </w:p>
          <w:p w14:paraId="2FCA7495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团队成员：</w:t>
            </w:r>
          </w:p>
        </w:tc>
      </w:tr>
      <w:tr w14:paraId="0DAA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1466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*联 系 人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114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3A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145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*手    机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FC7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04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CDB7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*电子邮件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360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F072164">
      <w:pPr>
        <w:adjustRightInd w:val="0"/>
        <w:snapToGrid w:val="0"/>
        <w:spacing w:line="360" w:lineRule="auto"/>
      </w:pPr>
    </w:p>
    <w:p w14:paraId="470F293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A0FCB2F">
      <w:bookmarkStart w:id="18" w:name="_GoBack"/>
      <w:bookmarkEnd w:id="18"/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3B8E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41C6C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41C6C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F7053"/>
    <w:multiLevelType w:val="multilevel"/>
    <w:tmpl w:val="3E5F7053"/>
    <w:lvl w:ilvl="0" w:tentative="0">
      <w:start w:val="1"/>
      <w:numFmt w:val="decimal"/>
      <w:suff w:val="space"/>
      <w:lvlText w:val="%1."/>
      <w:lvlJc w:val="left"/>
      <w:pPr>
        <w:ind w:left="988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suff w:val="space"/>
      <w:lvlText w:val="%3.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F0A7A"/>
    <w:rsid w:val="0A7F46C9"/>
    <w:rsid w:val="0D735AB7"/>
    <w:rsid w:val="1D993979"/>
    <w:rsid w:val="21ED46EF"/>
    <w:rsid w:val="31AF0A7A"/>
    <w:rsid w:val="335F522F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paragraph" w:customStyle="1" w:styleId="12">
    <w:name w:val="样式1"/>
    <w:basedOn w:val="1"/>
    <w:qFormat/>
    <w:uiPriority w:val="0"/>
    <w:pPr>
      <w:tabs>
        <w:tab w:val="right" w:leader="dot" w:pos="8845"/>
      </w:tabs>
    </w:pPr>
    <w:rPr>
      <w:rFonts w:hint="eastAsia" w:ascii="黑体" w:hAnsi="黑体" w:eastAsia="黑体" w:cs="黑体"/>
      <w:sz w:val="28"/>
      <w:szCs w:val="28"/>
    </w:rPr>
  </w:style>
  <w:style w:type="character" w:customStyle="1" w:styleId="13">
    <w:name w:val="标题 1 Char"/>
    <w:link w:val="2"/>
    <w:qFormat/>
    <w:uiPriority w:val="0"/>
    <w:rPr>
      <w:rFonts w:hint="eastAsia" w:ascii="宋体" w:hAnsi="宋体" w:eastAsia="黑体" w:cs="宋体"/>
      <w:b/>
      <w:bCs/>
      <w:kern w:val="44"/>
      <w:sz w:val="28"/>
      <w:szCs w:val="48"/>
      <w:lang w:val="en-US" w:eastAsia="zh-CN" w:bidi="ar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/>
      <w:b/>
      <w:sz w:val="28"/>
    </w:rPr>
  </w:style>
  <w:style w:type="paragraph" w:customStyle="1" w:styleId="15">
    <w:name w:val="a正文"/>
    <w:basedOn w:val="5"/>
    <w:qFormat/>
    <w:uiPriority w:val="0"/>
    <w:pPr>
      <w:snapToGrid w:val="0"/>
      <w:spacing w:before="100" w:beforeAutospacing="1" w:after="0" w:line="360" w:lineRule="auto"/>
      <w:ind w:firstLine="200" w:firstLineChars="200"/>
    </w:pPr>
    <w:rPr>
      <w:rFonts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2349</Words>
  <Characters>2425</Characters>
  <Lines>0</Lines>
  <Paragraphs>0</Paragraphs>
  <TotalTime>1</TotalTime>
  <ScaleCrop>false</ScaleCrop>
  <LinksUpToDate>false</LinksUpToDate>
  <CharactersWithSpaces>2442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2025-10-17T08:54:00Z</dcterms:created>
  <dc:creator>Seasame</dc:creator>
  <cp:lastModifiedBy>Seasame</cp:lastModifiedBy>
  <dcterms:modified xsi:type="dcterms:W3CDTF">2025-10-17T08:56:25Z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EA4BF5D3CEBF46E5853870CD7ACC6D74_11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